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1" w:rsidRPr="009B29C1" w:rsidRDefault="009B29C1" w:rsidP="00B767D2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</w:rPr>
      </w:pPr>
      <w:r w:rsidRPr="009B29C1">
        <w:rPr>
          <w:rFonts w:ascii="Arial" w:hAnsi="Arial" w:cs="Times-Roman"/>
        </w:rPr>
        <w:t xml:space="preserve">HAMP-membrane interactions correlate with </w:t>
      </w:r>
      <w:r>
        <w:rPr>
          <w:rFonts w:ascii="Arial" w:hAnsi="Arial" w:cs="Times-Roman"/>
        </w:rPr>
        <w:t xml:space="preserve">the </w:t>
      </w:r>
      <w:r w:rsidRPr="009B29C1">
        <w:rPr>
          <w:rFonts w:ascii="Arial" w:hAnsi="Arial" w:cs="Times-Roman"/>
        </w:rPr>
        <w:t xml:space="preserve">signaling mechanism and </w:t>
      </w:r>
      <w:proofErr w:type="spellStart"/>
      <w:r w:rsidRPr="009B29C1">
        <w:rPr>
          <w:rFonts w:ascii="Arial" w:hAnsi="Arial" w:cs="Times-Roman"/>
        </w:rPr>
        <w:t>subcellular</w:t>
      </w:r>
      <w:proofErr w:type="spellEnd"/>
      <w:r w:rsidRPr="009B29C1">
        <w:rPr>
          <w:rFonts w:ascii="Arial" w:hAnsi="Arial" w:cs="Times-Roman"/>
        </w:rPr>
        <w:t xml:space="preserve"> localization of HAMP-containing receptors</w:t>
      </w:r>
    </w:p>
    <w:p w:rsidR="00B767D2" w:rsidRPr="009B29C1" w:rsidRDefault="00B767D2" w:rsidP="009B29C1">
      <w:pPr>
        <w:widowControl w:val="0"/>
        <w:autoSpaceDE w:val="0"/>
        <w:autoSpaceDN w:val="0"/>
        <w:adjustRightInd w:val="0"/>
        <w:rPr>
          <w:rFonts w:ascii="Arial" w:hAnsi="Arial" w:cs="Times-Roman"/>
          <w:sz w:val="16"/>
        </w:rPr>
      </w:pPr>
    </w:p>
    <w:p w:rsidR="009B29C1" w:rsidRPr="009B29C1" w:rsidRDefault="00F50C52" w:rsidP="009B29C1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sz w:val="20"/>
          <w:vertAlign w:val="superscript"/>
        </w:rPr>
      </w:pPr>
      <w:r w:rsidRPr="009B29C1">
        <w:rPr>
          <w:rFonts w:ascii="Arial" w:hAnsi="Arial" w:cs="Times-Roman"/>
          <w:sz w:val="20"/>
        </w:rPr>
        <w:t>Sofia Unnerståle</w:t>
      </w:r>
      <w:r w:rsidRPr="009B29C1">
        <w:rPr>
          <w:rFonts w:ascii="Arial" w:hAnsi="Arial" w:cs="Times-Roman"/>
          <w:sz w:val="20"/>
          <w:vertAlign w:val="superscript"/>
        </w:rPr>
        <w:t>1</w:t>
      </w:r>
      <w:r w:rsidRPr="009B29C1">
        <w:rPr>
          <w:rFonts w:ascii="Arial" w:hAnsi="Arial" w:cs="Times-Roman"/>
          <w:sz w:val="20"/>
        </w:rPr>
        <w:t>, Lena Mäler</w:t>
      </w:r>
      <w:r w:rsidRPr="009B29C1">
        <w:rPr>
          <w:rFonts w:ascii="Arial" w:hAnsi="Arial" w:cs="Times-Roman"/>
          <w:sz w:val="20"/>
          <w:vertAlign w:val="superscript"/>
        </w:rPr>
        <w:t>1</w:t>
      </w:r>
      <w:r w:rsidRPr="009B29C1">
        <w:rPr>
          <w:rFonts w:ascii="Arial" w:hAnsi="Arial" w:cs="Times-Roman"/>
          <w:sz w:val="20"/>
        </w:rPr>
        <w:t xml:space="preserve"> and Roger R. </w:t>
      </w:r>
      <w:proofErr w:type="spellStart"/>
      <w:r w:rsidRPr="009B29C1">
        <w:rPr>
          <w:rFonts w:ascii="Arial" w:hAnsi="Arial" w:cs="Times-Roman"/>
          <w:sz w:val="20"/>
        </w:rPr>
        <w:t>Draheim</w:t>
      </w:r>
      <w:proofErr w:type="spellEnd"/>
      <w:r w:rsidRPr="009B29C1">
        <w:rPr>
          <w:rFonts w:ascii="Arial" w:hAnsi="Arial" w:cs="Times-Roman"/>
          <w:sz w:val="20"/>
        </w:rPr>
        <w:t>*</w:t>
      </w:r>
      <w:r w:rsidRPr="009B29C1">
        <w:rPr>
          <w:rFonts w:ascii="Arial" w:hAnsi="Arial" w:cs="Times-Roman"/>
          <w:sz w:val="20"/>
          <w:vertAlign w:val="superscript"/>
        </w:rPr>
        <w:t>1,2</w:t>
      </w:r>
    </w:p>
    <w:p w:rsidR="00B767D2" w:rsidRPr="009B29C1" w:rsidRDefault="00B767D2" w:rsidP="009B29C1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sz w:val="18"/>
        </w:rPr>
      </w:pPr>
    </w:p>
    <w:p w:rsidR="00DE1784" w:rsidRPr="00B767D2" w:rsidRDefault="00F50C52" w:rsidP="00B767D2">
      <w:pPr>
        <w:widowControl w:val="0"/>
        <w:autoSpaceDE w:val="0"/>
        <w:autoSpaceDN w:val="0"/>
        <w:adjustRightInd w:val="0"/>
        <w:jc w:val="center"/>
        <w:rPr>
          <w:rFonts w:ascii="Arial" w:hAnsi="Arial" w:cs="Times-Roman"/>
          <w:sz w:val="16"/>
        </w:rPr>
      </w:pPr>
      <w:r w:rsidRPr="00B767D2">
        <w:rPr>
          <w:rFonts w:ascii="Arial" w:hAnsi="Arial" w:cs="Times-Roman"/>
          <w:sz w:val="16"/>
          <w:vertAlign w:val="superscript"/>
        </w:rPr>
        <w:t>1</w:t>
      </w:r>
      <w:r w:rsidR="00DE1784" w:rsidRPr="00B767D2">
        <w:rPr>
          <w:rFonts w:ascii="Arial" w:hAnsi="Arial" w:cs="Times-Roman"/>
          <w:sz w:val="16"/>
        </w:rPr>
        <w:t xml:space="preserve">Department of Biochemistry and Biophysics, Stockholm University, </w:t>
      </w:r>
      <w:proofErr w:type="spellStart"/>
      <w:r w:rsidR="00DE1784" w:rsidRPr="00B767D2">
        <w:rPr>
          <w:rFonts w:ascii="Arial" w:hAnsi="Arial" w:cs="Times-Roman"/>
          <w:sz w:val="16"/>
        </w:rPr>
        <w:t>Svante</w:t>
      </w:r>
      <w:proofErr w:type="spellEnd"/>
      <w:r w:rsidR="00DE1784" w:rsidRPr="00B767D2">
        <w:rPr>
          <w:rFonts w:ascii="Arial" w:hAnsi="Arial" w:cs="Times-Roman"/>
          <w:sz w:val="16"/>
        </w:rPr>
        <w:t xml:space="preserve"> Arrhenius </w:t>
      </w:r>
      <w:proofErr w:type="spellStart"/>
      <w:r w:rsidR="00DE1784" w:rsidRPr="00B767D2">
        <w:rPr>
          <w:rFonts w:ascii="Arial" w:hAnsi="Arial" w:cs="Times-Roman"/>
          <w:sz w:val="16"/>
        </w:rPr>
        <w:t>väg</w:t>
      </w:r>
      <w:proofErr w:type="spellEnd"/>
      <w:r w:rsidR="00DE1784" w:rsidRPr="00B767D2">
        <w:rPr>
          <w:rFonts w:ascii="Arial" w:hAnsi="Arial" w:cs="Times-Roman"/>
          <w:sz w:val="16"/>
        </w:rPr>
        <w:t xml:space="preserve"> 16C, SE-10691 Stockholm, Sweden; </w:t>
      </w:r>
      <w:r w:rsidR="00DE1784" w:rsidRPr="00B767D2">
        <w:rPr>
          <w:rFonts w:ascii="Arial" w:hAnsi="Arial" w:cs="Times-Roman"/>
          <w:sz w:val="16"/>
          <w:vertAlign w:val="superscript"/>
        </w:rPr>
        <w:t>2</w:t>
      </w:r>
      <w:r w:rsidR="00DE1784" w:rsidRPr="00B767D2">
        <w:rPr>
          <w:rFonts w:ascii="Arial" w:hAnsi="Arial" w:cs="Times-Roman"/>
          <w:sz w:val="16"/>
        </w:rPr>
        <w:t xml:space="preserve">Institute of Biochemistry, </w:t>
      </w:r>
      <w:proofErr w:type="spellStart"/>
      <w:r w:rsidR="00DE1784" w:rsidRPr="00B767D2">
        <w:rPr>
          <w:rFonts w:ascii="Arial" w:hAnsi="Arial" w:cs="Times-Roman"/>
          <w:sz w:val="16"/>
        </w:rPr>
        <w:t>Biocenter</w:t>
      </w:r>
      <w:proofErr w:type="spellEnd"/>
      <w:r w:rsidR="00DE1784" w:rsidRPr="00B767D2">
        <w:rPr>
          <w:rFonts w:ascii="Arial" w:hAnsi="Arial" w:cs="Times-Roman"/>
          <w:sz w:val="16"/>
        </w:rPr>
        <w:t>, Max-von-Laue Str</w:t>
      </w:r>
      <w:r w:rsidR="00B767D2">
        <w:rPr>
          <w:rFonts w:ascii="Arial" w:hAnsi="Arial" w:cs="Times-Roman"/>
          <w:sz w:val="16"/>
        </w:rPr>
        <w:t>.</w:t>
      </w:r>
      <w:r w:rsidR="00DE1784" w:rsidRPr="00B767D2">
        <w:rPr>
          <w:rFonts w:ascii="Arial" w:hAnsi="Arial" w:cs="Times-Roman"/>
          <w:sz w:val="16"/>
        </w:rPr>
        <w:t xml:space="preserve"> 9, D-60438 Frankfurt, Germany</w:t>
      </w:r>
    </w:p>
    <w:p w:rsidR="00DE1784" w:rsidRPr="00DE1784" w:rsidRDefault="00DE1784" w:rsidP="00DE1784">
      <w:pPr>
        <w:widowControl w:val="0"/>
        <w:autoSpaceDE w:val="0"/>
        <w:autoSpaceDN w:val="0"/>
        <w:adjustRightInd w:val="0"/>
        <w:rPr>
          <w:rFonts w:ascii="Arial" w:hAnsi="Arial" w:cs="Times-Roman"/>
        </w:rPr>
      </w:pPr>
    </w:p>
    <w:p w:rsidR="00F50C52" w:rsidRPr="00B767D2" w:rsidRDefault="00B767D2" w:rsidP="00F50C52">
      <w:pPr>
        <w:widowControl w:val="0"/>
        <w:autoSpaceDE w:val="0"/>
        <w:autoSpaceDN w:val="0"/>
        <w:adjustRightInd w:val="0"/>
        <w:jc w:val="both"/>
        <w:rPr>
          <w:rFonts w:ascii="Arial" w:hAnsi="Arial" w:cs="Times-Roman"/>
          <w:sz w:val="22"/>
        </w:rPr>
      </w:pPr>
      <w:r w:rsidRPr="00B767D2">
        <w:rPr>
          <w:rFonts w:ascii="Arial" w:hAnsi="Arial" w:cs="Times-Roman"/>
          <w:sz w:val="22"/>
        </w:rPr>
        <w:t xml:space="preserve">HAMP domains convert </w:t>
      </w:r>
      <w:r w:rsidR="00DE1784" w:rsidRPr="00B767D2">
        <w:rPr>
          <w:rFonts w:ascii="Arial" w:hAnsi="Arial" w:cs="Times-Roman"/>
          <w:sz w:val="22"/>
        </w:rPr>
        <w:t>extr</w:t>
      </w:r>
      <w:r w:rsidRPr="00B767D2">
        <w:rPr>
          <w:rFonts w:ascii="Arial" w:hAnsi="Arial" w:cs="Times-Roman"/>
          <w:sz w:val="22"/>
        </w:rPr>
        <w:t xml:space="preserve">acellular sensory input into </w:t>
      </w:r>
      <w:r w:rsidR="00DE1784" w:rsidRPr="00B767D2">
        <w:rPr>
          <w:rFonts w:ascii="Arial" w:hAnsi="Arial" w:cs="Times-Roman"/>
          <w:sz w:val="22"/>
        </w:rPr>
        <w:t>intra</w:t>
      </w:r>
      <w:r w:rsidR="00444EE4" w:rsidRPr="00B767D2">
        <w:rPr>
          <w:rFonts w:ascii="Arial" w:hAnsi="Arial" w:cs="Times-Roman"/>
          <w:sz w:val="22"/>
        </w:rPr>
        <w:t xml:space="preserve">cellular signaling response in more than 5000 </w:t>
      </w:r>
      <w:r w:rsidRPr="00B767D2">
        <w:rPr>
          <w:rFonts w:ascii="Arial" w:hAnsi="Arial" w:cs="Times-Roman"/>
          <w:sz w:val="22"/>
        </w:rPr>
        <w:t xml:space="preserve">membrane-embedded </w:t>
      </w:r>
      <w:r w:rsidR="00444EE4" w:rsidRPr="00B767D2">
        <w:rPr>
          <w:rFonts w:ascii="Arial" w:hAnsi="Arial" w:cs="Times-Roman"/>
          <w:sz w:val="22"/>
        </w:rPr>
        <w:t xml:space="preserve">bacterial receptors. </w:t>
      </w:r>
      <w:r w:rsidR="00FC42BC" w:rsidRPr="00B767D2">
        <w:rPr>
          <w:rFonts w:ascii="Arial" w:hAnsi="Arial" w:cs="Times-Roman"/>
          <w:sz w:val="22"/>
        </w:rPr>
        <w:t>These domain</w:t>
      </w:r>
      <w:r w:rsidR="00CE183F" w:rsidRPr="00B767D2">
        <w:rPr>
          <w:rFonts w:ascii="Arial" w:hAnsi="Arial" w:cs="Times-Roman"/>
          <w:sz w:val="22"/>
        </w:rPr>
        <w:t>s</w:t>
      </w:r>
      <w:r w:rsidR="00FC42BC" w:rsidRPr="00B767D2">
        <w:rPr>
          <w:rFonts w:ascii="Arial" w:hAnsi="Arial" w:cs="Times-Roman"/>
          <w:sz w:val="22"/>
        </w:rPr>
        <w:t xml:space="preserve"> are almost </w:t>
      </w:r>
      <w:r w:rsidR="00F50C52" w:rsidRPr="00B767D2">
        <w:rPr>
          <w:rFonts w:ascii="Arial" w:hAnsi="Arial" w:cs="Times-Roman"/>
          <w:sz w:val="22"/>
        </w:rPr>
        <w:t xml:space="preserve">invariably found adjacent to the inner leaflet of the cell membrane. We therefore examined the interaction of peptides corresponding to either AS1 or AS2 of four different, well-characterized HAMP domains with several membrane model systems. </w:t>
      </w:r>
      <w:r w:rsidR="00CE183F" w:rsidRPr="00B767D2">
        <w:rPr>
          <w:rFonts w:ascii="Arial" w:hAnsi="Arial" w:cs="Times-Roman"/>
          <w:sz w:val="22"/>
        </w:rPr>
        <w:t xml:space="preserve">HAMP domains were selected from </w:t>
      </w:r>
      <w:r w:rsidR="00F50C52" w:rsidRPr="00B767D2">
        <w:rPr>
          <w:rFonts w:ascii="Arial" w:hAnsi="Arial" w:cs="Times-Roman"/>
          <w:sz w:val="22"/>
        </w:rPr>
        <w:t xml:space="preserve">an </w:t>
      </w:r>
      <w:proofErr w:type="spellStart"/>
      <w:r w:rsidR="00F50C52" w:rsidRPr="00B767D2">
        <w:rPr>
          <w:rFonts w:ascii="Arial" w:hAnsi="Arial" w:cs="Times-Roman"/>
          <w:i/>
          <w:iCs/>
          <w:sz w:val="22"/>
        </w:rPr>
        <w:t>Archaeoglobus</w:t>
      </w:r>
      <w:proofErr w:type="spellEnd"/>
      <w:r w:rsidR="00F50C52" w:rsidRPr="00B767D2">
        <w:rPr>
          <w:rFonts w:ascii="Arial" w:hAnsi="Arial" w:cs="Times-Roman"/>
          <w:i/>
          <w:iCs/>
          <w:sz w:val="22"/>
        </w:rPr>
        <w:t xml:space="preserve"> </w:t>
      </w:r>
      <w:proofErr w:type="spellStart"/>
      <w:r w:rsidR="00F50C52" w:rsidRPr="00B767D2">
        <w:rPr>
          <w:rFonts w:ascii="Arial" w:hAnsi="Arial" w:cs="Times-Roman"/>
          <w:i/>
          <w:iCs/>
          <w:sz w:val="22"/>
        </w:rPr>
        <w:t>fulgidus</w:t>
      </w:r>
      <w:proofErr w:type="spellEnd"/>
      <w:r w:rsidR="00F50C52" w:rsidRPr="00B767D2">
        <w:rPr>
          <w:rFonts w:ascii="Arial" w:hAnsi="Arial" w:cs="Times-Roman"/>
          <w:i/>
          <w:iCs/>
          <w:sz w:val="22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protein (Af1503), the </w:t>
      </w:r>
      <w:r w:rsidR="00F50C52" w:rsidRPr="00B767D2">
        <w:rPr>
          <w:rFonts w:ascii="Arial" w:hAnsi="Arial" w:cs="Times-Roman"/>
          <w:i/>
          <w:iCs/>
          <w:sz w:val="22"/>
        </w:rPr>
        <w:t>Escherichia coli</w:t>
      </w:r>
      <w:r w:rsidR="00F50C52" w:rsidRPr="00B767D2">
        <w:rPr>
          <w:rFonts w:ascii="Arial" w:hAnsi="Arial" w:cs="Times-Roman"/>
          <w:sz w:val="22"/>
        </w:rPr>
        <w:t xml:space="preserve"> </w:t>
      </w:r>
      <w:proofErr w:type="spellStart"/>
      <w:r w:rsidR="00F50C52" w:rsidRPr="00B767D2">
        <w:rPr>
          <w:rFonts w:ascii="Arial" w:hAnsi="Arial" w:cs="Times-Roman"/>
          <w:sz w:val="22"/>
        </w:rPr>
        <w:t>osmosensor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</w:t>
      </w:r>
      <w:proofErr w:type="spellStart"/>
      <w:r w:rsidR="00F50C52" w:rsidRPr="00B767D2">
        <w:rPr>
          <w:rFonts w:ascii="Arial" w:hAnsi="Arial" w:cs="Times-Roman"/>
          <w:sz w:val="22"/>
        </w:rPr>
        <w:t>EnvZ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sz w:val="22"/>
        </w:rPr>
        <w:t xml:space="preserve">, the </w:t>
      </w:r>
      <w:r w:rsidR="00F50C52" w:rsidRPr="00B767D2">
        <w:rPr>
          <w:rFonts w:ascii="Arial" w:hAnsi="Arial" w:cs="Times-Roman"/>
          <w:i/>
          <w:iCs/>
          <w:sz w:val="22"/>
        </w:rPr>
        <w:t xml:space="preserve">E. coli </w:t>
      </w:r>
      <w:r w:rsidR="00F50C52" w:rsidRPr="00B767D2">
        <w:rPr>
          <w:rFonts w:ascii="Arial" w:hAnsi="Arial" w:cs="Times-Roman"/>
          <w:sz w:val="22"/>
        </w:rPr>
        <w:t xml:space="preserve">nitrate/nitrite sensor </w:t>
      </w:r>
      <w:proofErr w:type="spellStart"/>
      <w:r w:rsidR="00F50C52" w:rsidRPr="00B767D2">
        <w:rPr>
          <w:rFonts w:ascii="Arial" w:hAnsi="Arial" w:cs="Times-Roman"/>
          <w:sz w:val="22"/>
        </w:rPr>
        <w:t>NarX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sz w:val="22"/>
        </w:rPr>
        <w:t xml:space="preserve">, and the </w:t>
      </w:r>
      <w:proofErr w:type="spellStart"/>
      <w:r w:rsidR="00F50C52" w:rsidRPr="00B767D2">
        <w:rPr>
          <w:rFonts w:ascii="Arial" w:hAnsi="Arial" w:cs="Times-Roman"/>
          <w:sz w:val="22"/>
        </w:rPr>
        <w:t>aspartate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chemoreceptor of </w:t>
      </w:r>
      <w:r w:rsidR="00F50C52" w:rsidRPr="00B767D2">
        <w:rPr>
          <w:rFonts w:ascii="Arial" w:hAnsi="Arial" w:cs="Times-Roman"/>
          <w:i/>
          <w:iCs/>
          <w:sz w:val="22"/>
        </w:rPr>
        <w:t xml:space="preserve">E. coli </w:t>
      </w:r>
      <w:r w:rsidR="00F50C52" w:rsidRPr="00B767D2">
        <w:rPr>
          <w:rFonts w:ascii="Arial" w:hAnsi="Arial" w:cs="Times-Roman"/>
          <w:sz w:val="22"/>
        </w:rPr>
        <w:t>(</w:t>
      </w:r>
      <w:proofErr w:type="spellStart"/>
      <w:r w:rsidR="00F50C52" w:rsidRPr="00B767D2">
        <w:rPr>
          <w:rFonts w:ascii="Arial" w:hAnsi="Arial" w:cs="Times-Roman"/>
          <w:sz w:val="22"/>
        </w:rPr>
        <w:t>Tar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sz w:val="22"/>
        </w:rPr>
        <w:t xml:space="preserve">). Far-UV CD and NMR spectroscopy were used to monitor the induction of secondary structure upon association with neutral or acidic large </w:t>
      </w:r>
      <w:proofErr w:type="spellStart"/>
      <w:r w:rsidR="00F50C52" w:rsidRPr="00B767D2">
        <w:rPr>
          <w:rFonts w:ascii="Arial" w:hAnsi="Arial" w:cs="Times-Roman"/>
          <w:sz w:val="22"/>
        </w:rPr>
        <w:t>unilamellar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vesicles (</w:t>
      </w:r>
      <w:proofErr w:type="spellStart"/>
      <w:r w:rsidR="00F50C52" w:rsidRPr="00B767D2">
        <w:rPr>
          <w:rFonts w:ascii="Arial" w:hAnsi="Arial" w:cs="Times-Roman"/>
          <w:sz w:val="22"/>
        </w:rPr>
        <w:t>LUVs</w:t>
      </w:r>
      <w:proofErr w:type="spellEnd"/>
      <w:r w:rsidR="00F50C52" w:rsidRPr="00B767D2">
        <w:rPr>
          <w:rFonts w:ascii="Arial" w:hAnsi="Arial" w:cs="Times-Roman"/>
          <w:sz w:val="22"/>
        </w:rPr>
        <w:t xml:space="preserve">) and </w:t>
      </w:r>
      <w:proofErr w:type="spellStart"/>
      <w:r w:rsidR="00F50C52" w:rsidRPr="00B767D2">
        <w:rPr>
          <w:rFonts w:ascii="Arial" w:hAnsi="Arial" w:cs="Times-Roman"/>
          <w:sz w:val="22"/>
        </w:rPr>
        <w:t>bicelles</w:t>
      </w:r>
      <w:proofErr w:type="spellEnd"/>
      <w:r w:rsidR="00F50C52" w:rsidRPr="00B767D2">
        <w:rPr>
          <w:rFonts w:ascii="Arial" w:hAnsi="Arial" w:cs="Times-Roman"/>
          <w:sz w:val="22"/>
        </w:rPr>
        <w:t xml:space="preserve">. We observed significant increases in </w:t>
      </w:r>
      <w:r w:rsidR="00F50C52" w:rsidRPr="00B767D2">
        <w:rPr>
          <w:rFonts w:ascii="Symbol" w:hAnsi="Symbol" w:cs="Times-Roman"/>
          <w:sz w:val="22"/>
        </w:rPr>
        <w:t>a</w:t>
      </w:r>
      <w:r w:rsidR="00F50C52" w:rsidRPr="00B767D2">
        <w:rPr>
          <w:rFonts w:ascii="Arial" w:hAnsi="Arial" w:cs="Times-Roman"/>
          <w:sz w:val="22"/>
        </w:rPr>
        <w:t>-</w:t>
      </w:r>
      <w:proofErr w:type="spellStart"/>
      <w:r w:rsidR="00F50C52" w:rsidRPr="00B767D2">
        <w:rPr>
          <w:rFonts w:ascii="Arial" w:hAnsi="Arial" w:cs="Times-Roman"/>
          <w:sz w:val="22"/>
        </w:rPr>
        <w:t>helicity</w:t>
      </w:r>
      <w:proofErr w:type="spellEnd"/>
      <w:r w:rsidR="00FC42BC" w:rsidRPr="00B767D2">
        <w:rPr>
          <w:rFonts w:ascii="Arial" w:hAnsi="Arial" w:cs="Times-Roman"/>
          <w:sz w:val="22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within AS1 from </w:t>
      </w:r>
      <w:proofErr w:type="spellStart"/>
      <w:r w:rsidR="00F50C52" w:rsidRPr="00B767D2">
        <w:rPr>
          <w:rFonts w:ascii="Arial" w:hAnsi="Arial" w:cs="Times-Roman"/>
          <w:sz w:val="22"/>
        </w:rPr>
        <w:t>NarX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i/>
          <w:iCs/>
          <w:sz w:val="22"/>
          <w:szCs w:val="16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and </w:t>
      </w:r>
      <w:proofErr w:type="spellStart"/>
      <w:r w:rsidR="00F50C52" w:rsidRPr="00B767D2">
        <w:rPr>
          <w:rFonts w:ascii="Arial" w:hAnsi="Arial" w:cs="Times-Roman"/>
          <w:sz w:val="22"/>
        </w:rPr>
        <w:t>Tar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i/>
          <w:iCs/>
          <w:sz w:val="22"/>
          <w:szCs w:val="16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but not in AS1 from the other proteins. To characterize these interactions further, we determined the solution structure of AS1 from </w:t>
      </w:r>
      <w:proofErr w:type="spellStart"/>
      <w:r w:rsidR="00F50C52" w:rsidRPr="00B767D2">
        <w:rPr>
          <w:rFonts w:ascii="Arial" w:hAnsi="Arial" w:cs="Times-Roman"/>
          <w:sz w:val="22"/>
        </w:rPr>
        <w:t>Tar</w:t>
      </w:r>
      <w:r w:rsidR="00F50C52" w:rsidRPr="00B767D2">
        <w:rPr>
          <w:rFonts w:ascii="Arial" w:hAnsi="Arial" w:cs="Times-Roman"/>
          <w:i/>
          <w:iCs/>
          <w:sz w:val="22"/>
          <w:szCs w:val="16"/>
          <w:vertAlign w:val="subscript"/>
        </w:rPr>
        <w:t>Ec</w:t>
      </w:r>
      <w:proofErr w:type="spellEnd"/>
      <w:r w:rsidR="00F50C52" w:rsidRPr="00B767D2">
        <w:rPr>
          <w:rFonts w:ascii="Arial" w:hAnsi="Arial" w:cs="Times-Roman"/>
          <w:i/>
          <w:iCs/>
          <w:sz w:val="22"/>
          <w:szCs w:val="16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associated with acidic </w:t>
      </w:r>
      <w:proofErr w:type="spellStart"/>
      <w:r w:rsidR="00F50C52" w:rsidRPr="00B767D2">
        <w:rPr>
          <w:rFonts w:ascii="Arial" w:hAnsi="Arial" w:cs="Times-Roman"/>
          <w:sz w:val="22"/>
        </w:rPr>
        <w:t>bicelles</w:t>
      </w:r>
      <w:proofErr w:type="spellEnd"/>
      <w:r w:rsidR="00F50C52" w:rsidRPr="00B767D2">
        <w:rPr>
          <w:rFonts w:ascii="Arial" w:hAnsi="Arial" w:cs="Times-Roman"/>
          <w:sz w:val="22"/>
        </w:rPr>
        <w:t xml:space="preserve">. AS1 formed an </w:t>
      </w:r>
      <w:proofErr w:type="spellStart"/>
      <w:r w:rsidR="00F50C52" w:rsidRPr="00B767D2">
        <w:rPr>
          <w:rFonts w:ascii="Arial" w:hAnsi="Arial" w:cs="Times-Roman"/>
          <w:sz w:val="22"/>
        </w:rPr>
        <w:t>amphipathic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</w:t>
      </w:r>
      <w:r w:rsidR="00F50C52" w:rsidRPr="00B767D2">
        <w:rPr>
          <w:rFonts w:ascii="Symbol" w:hAnsi="Symbol" w:cs="Times-Roman"/>
          <w:sz w:val="22"/>
        </w:rPr>
        <w:t>a</w:t>
      </w:r>
      <w:r w:rsidR="00F50C52" w:rsidRPr="00B767D2">
        <w:rPr>
          <w:rFonts w:ascii="Arial" w:hAnsi="Arial" w:cs="Times-Roman"/>
          <w:sz w:val="22"/>
        </w:rPr>
        <w:t xml:space="preserve">-helix, whereas the N-terminal control cable, the region between TM2 and AS1, </w:t>
      </w:r>
      <w:r w:rsidRPr="00B767D2">
        <w:rPr>
          <w:rFonts w:ascii="Arial" w:hAnsi="Arial" w:cs="Times-Roman"/>
          <w:sz w:val="22"/>
        </w:rPr>
        <w:t>was</w:t>
      </w:r>
      <w:r w:rsidR="00CE183F" w:rsidRPr="00B767D2">
        <w:rPr>
          <w:rFonts w:ascii="Arial" w:hAnsi="Arial" w:cs="Times-Roman"/>
          <w:sz w:val="22"/>
        </w:rPr>
        <w:t xml:space="preserve"> </w:t>
      </w:r>
      <w:r w:rsidR="00F50C52" w:rsidRPr="00B767D2">
        <w:rPr>
          <w:rFonts w:ascii="Arial" w:hAnsi="Arial" w:cs="Times-Roman"/>
          <w:sz w:val="22"/>
        </w:rPr>
        <w:t xml:space="preserve">unstructured. We observed that the conserved </w:t>
      </w:r>
      <w:proofErr w:type="spellStart"/>
      <w:r w:rsidR="00F50C52" w:rsidRPr="00B767D2">
        <w:rPr>
          <w:rFonts w:ascii="Arial" w:hAnsi="Arial" w:cs="Times-Roman"/>
          <w:sz w:val="22"/>
        </w:rPr>
        <w:t>prolyl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residue found in AS1 of many membrane-adjacent HAMP domains defined the boundary between the unstructured and helical regions. </w:t>
      </w:r>
      <w:r w:rsidRPr="00B767D2">
        <w:rPr>
          <w:rFonts w:ascii="Arial" w:hAnsi="Arial" w:cs="Times-Roman"/>
          <w:sz w:val="22"/>
        </w:rPr>
        <w:t>T</w:t>
      </w:r>
      <w:r w:rsidR="00F50C52" w:rsidRPr="00B767D2">
        <w:rPr>
          <w:rFonts w:ascii="Arial" w:hAnsi="Arial" w:cs="Times-Roman"/>
          <w:sz w:val="22"/>
        </w:rPr>
        <w:t xml:space="preserve">hese results </w:t>
      </w:r>
      <w:r w:rsidRPr="00B767D2">
        <w:rPr>
          <w:rFonts w:ascii="Arial" w:hAnsi="Arial" w:cs="Times-Roman"/>
          <w:sz w:val="22"/>
        </w:rPr>
        <w:t>strongly support</w:t>
      </w:r>
      <w:r w:rsidR="00F50C52" w:rsidRPr="00B767D2">
        <w:rPr>
          <w:rFonts w:ascii="Arial" w:hAnsi="Arial" w:cs="Times-Roman"/>
          <w:sz w:val="22"/>
        </w:rPr>
        <w:t xml:space="preserve"> the helix-interaction model for HAMP signaling and </w:t>
      </w:r>
      <w:r w:rsidRPr="00B767D2">
        <w:rPr>
          <w:rFonts w:ascii="Arial" w:hAnsi="Arial" w:cs="Times-Roman"/>
          <w:sz w:val="22"/>
        </w:rPr>
        <w:t>suggest</w:t>
      </w:r>
      <w:r w:rsidR="00F50C52" w:rsidRPr="00B767D2">
        <w:rPr>
          <w:rFonts w:ascii="Arial" w:hAnsi="Arial" w:cs="Times-Roman"/>
          <w:sz w:val="22"/>
        </w:rPr>
        <w:t xml:space="preserve"> roles for AS1-</w:t>
      </w:r>
      <w:r w:rsidRPr="00B767D2">
        <w:rPr>
          <w:rFonts w:ascii="Arial" w:hAnsi="Arial" w:cs="Times-Roman"/>
          <w:sz w:val="22"/>
        </w:rPr>
        <w:t>membrane interactions during</w:t>
      </w:r>
      <w:r w:rsidR="00F50C52" w:rsidRPr="00B767D2">
        <w:rPr>
          <w:rFonts w:ascii="Arial" w:hAnsi="Arial" w:cs="Times-Roman"/>
          <w:sz w:val="22"/>
        </w:rPr>
        <w:t xml:space="preserve"> </w:t>
      </w:r>
      <w:proofErr w:type="spellStart"/>
      <w:r w:rsidR="00F50C52" w:rsidRPr="00B767D2">
        <w:rPr>
          <w:rFonts w:ascii="Arial" w:hAnsi="Arial" w:cs="Times-Roman"/>
          <w:sz w:val="22"/>
        </w:rPr>
        <w:t>transmembrane</w:t>
      </w:r>
      <w:proofErr w:type="spellEnd"/>
      <w:r w:rsidR="00F50C52" w:rsidRPr="00B767D2">
        <w:rPr>
          <w:rFonts w:ascii="Arial" w:hAnsi="Arial" w:cs="Times-Roman"/>
          <w:sz w:val="22"/>
        </w:rPr>
        <w:t xml:space="preserve"> communication </w:t>
      </w:r>
      <w:r w:rsidRPr="00B767D2">
        <w:rPr>
          <w:rFonts w:ascii="Arial" w:hAnsi="Arial" w:cs="Times-Roman"/>
          <w:sz w:val="22"/>
        </w:rPr>
        <w:t xml:space="preserve">and </w:t>
      </w:r>
      <w:proofErr w:type="spellStart"/>
      <w:r w:rsidRPr="00B767D2">
        <w:rPr>
          <w:rFonts w:ascii="Arial" w:hAnsi="Arial" w:cs="Times-Roman"/>
          <w:sz w:val="22"/>
        </w:rPr>
        <w:t>subcellular</w:t>
      </w:r>
      <w:proofErr w:type="spellEnd"/>
      <w:r w:rsidRPr="00B767D2">
        <w:rPr>
          <w:rFonts w:ascii="Arial" w:hAnsi="Arial" w:cs="Times-Roman"/>
          <w:sz w:val="22"/>
        </w:rPr>
        <w:t xml:space="preserve"> localization </w:t>
      </w:r>
      <w:r w:rsidR="00F50C52" w:rsidRPr="00B767D2">
        <w:rPr>
          <w:rFonts w:ascii="Arial" w:hAnsi="Arial" w:cs="Times-Roman"/>
          <w:sz w:val="22"/>
        </w:rPr>
        <w:t>of HAMP-containing receptors.</w:t>
      </w:r>
    </w:p>
    <w:p w:rsidR="00F50C52" w:rsidRPr="00B767D2" w:rsidRDefault="00F50C52" w:rsidP="00F50C52">
      <w:pPr>
        <w:jc w:val="both"/>
        <w:rPr>
          <w:rFonts w:ascii="Arial" w:hAnsi="Arial"/>
          <w:sz w:val="22"/>
          <w:lang w:val="sv-SE"/>
        </w:rPr>
      </w:pPr>
    </w:p>
    <w:sectPr w:rsidR="00F50C52" w:rsidRPr="00B767D2" w:rsidSect="00F50C52">
      <w:pgSz w:w="12240" w:h="15840"/>
      <w:pgMar w:top="1440" w:right="1797" w:bottom="1440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C52"/>
    <w:rsid w:val="00382692"/>
    <w:rsid w:val="00444EE4"/>
    <w:rsid w:val="009B29C1"/>
    <w:rsid w:val="00B767D2"/>
    <w:rsid w:val="00CE183F"/>
    <w:rsid w:val="00DE1784"/>
    <w:rsid w:val="00F50C52"/>
    <w:rsid w:val="00FC42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0</Characters>
  <Application>Microsoft Macintosh Word</Application>
  <DocSecurity>0</DocSecurity>
  <Lines>1</Lines>
  <Paragraphs>1</Paragraphs>
  <ScaleCrop>false</ScaleCrop>
  <Company>Stockholms universitet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Roger Draheim</cp:lastModifiedBy>
  <cp:revision>1</cp:revision>
  <dcterms:created xsi:type="dcterms:W3CDTF">2011-07-15T13:00:00Z</dcterms:created>
  <dcterms:modified xsi:type="dcterms:W3CDTF">2011-07-15T14:51:00Z</dcterms:modified>
</cp:coreProperties>
</file>